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2" w:type="dxa"/>
        <w:tblInd w:w="392" w:type="dxa"/>
        <w:tblLayout w:type="fixed"/>
        <w:tblLook w:val="04A0"/>
      </w:tblPr>
      <w:tblGrid>
        <w:gridCol w:w="4676"/>
        <w:gridCol w:w="5708"/>
        <w:gridCol w:w="108"/>
        <w:gridCol w:w="4240"/>
      </w:tblGrid>
      <w:tr w:rsidR="00A76AEF" w:rsidRPr="006A030E" w:rsidTr="00B510F4">
        <w:trPr>
          <w:trHeight w:val="1019"/>
        </w:trPr>
        <w:tc>
          <w:tcPr>
            <w:tcW w:w="10384" w:type="dxa"/>
            <w:gridSpan w:val="2"/>
            <w:hideMark/>
          </w:tcPr>
          <w:p w:rsidR="00A76AEF" w:rsidRPr="006A030E" w:rsidRDefault="00A76AEF" w:rsidP="00A76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5F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Смоле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оле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55F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МОНАСТЫРЩИНСКОГО РАЙОНА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2B0720" w:rsidP="00A76A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28 декабря  2016 года            № 23</w:t>
            </w:r>
            <w:bookmarkStart w:id="0" w:name="_GoBack"/>
            <w:bookmarkEnd w:id="0"/>
          </w:p>
          <w:p w:rsidR="00A76AEF" w:rsidRPr="00A76AEF" w:rsidRDefault="00A76AEF" w:rsidP="00A7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2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1"/>
              <w:gridCol w:w="4820"/>
            </w:tblGrid>
            <w:tr w:rsidR="00A76AEF" w:rsidRPr="00A76AEF" w:rsidTr="00B510F4">
              <w:trPr>
                <w:trHeight w:val="57"/>
              </w:trPr>
              <w:tc>
                <w:tcPr>
                  <w:tcW w:w="5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бюджете Александровского сельского поселения </w:t>
                  </w:r>
                  <w:proofErr w:type="spellStart"/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Монастырщинскогорайона</w:t>
                  </w:r>
                  <w:proofErr w:type="spellEnd"/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Смоленской области на 2017 год и на плановый период 2018 и 2019 годов </w:t>
                  </w:r>
                </w:p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6AEF" w:rsidRPr="00A76AEF" w:rsidRDefault="00A76AEF" w:rsidP="00A76AE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2017 год: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-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4 271,8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объем безвозмездных поступлений в сумме -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2 443,7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которых объем получаемых межбюджетных трансфертов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2 443,7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4 271,8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в 2017 году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2017 году,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плановый период 2018 и 2019 годов: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 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- 4 335,9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2 471,9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2 471,9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рублей,  и на 2019 год  в сумме 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4 543,1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2 502,7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2 502,7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4 335,9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2019 год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– 4 543,1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2018 году,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17,3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в 2018 году,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7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 на 2017 год согласно приложению 1 к настоящему решению;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2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8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9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главных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Александровского сельского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поселенияМонастырщинского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4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0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нормативы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2017 год и на плановый период 2018 и 2019 годов согласно приложению 5 к настоящему решению.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1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прогнозируемые доходы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 исключением безвозмездных поступлений: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6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 плановый период 2018 и 2019 годов согласно приложению 7 к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прогнозируемые безвозмездные </w:t>
            </w:r>
            <w:hyperlink r:id="rId12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поступления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8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9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3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разделам, подразделам, целевым статьям  (муниципальным программам и  непрограммным направлениям деятельности), группам (группам  и подгруппам) видов расходов классификации расходов бюджетов: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 на 2017 год согласно приложению 10 к настоящему решению;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 плановый период 2018 и 2019 годов согласно приложению 11 к настоящему решению. 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 распределение бюджетных ассигнований по целевым статьям (муниципальным программам и непрограммным  направлениям деятельности), группам (группам  и подгруппам) видов расходов классификации расходов бюджетов: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12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13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ведомственную </w:t>
            </w:r>
            <w:hyperlink r:id="rId14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структуру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      </w:r>
            <w:proofErr w:type="gramEnd"/>
          </w:p>
          <w:p w:rsidR="00A76AEF" w:rsidRPr="00A76AEF" w:rsidRDefault="00A76AEF" w:rsidP="00A76A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согласно приложению 14 к настоящему решению;</w:t>
            </w:r>
          </w:p>
          <w:p w:rsidR="00A76AEF" w:rsidRPr="00A76AEF" w:rsidRDefault="00A76AEF" w:rsidP="00A76A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15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Утвердить объем бюджетных ассигнований на финансовое обеспечение реализации муниципальных программ в 2017 году в сумме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3 619,1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2018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3 683,2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2019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3 890,4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5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муниципальным программам и непрограммным направлениям деятельности: </w:t>
            </w:r>
          </w:p>
          <w:p w:rsidR="00A76AEF" w:rsidRPr="00A76AEF" w:rsidRDefault="00A76AEF" w:rsidP="00A76A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согласно приложению 16 к настоящему решению; </w:t>
            </w:r>
          </w:p>
          <w:p w:rsidR="00A76AEF" w:rsidRPr="00A76AEF" w:rsidRDefault="00A76AEF" w:rsidP="00A76A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17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1)  на 2017 год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- 1 207,9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2)  на 2018 год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1 188,9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3)  на 2019 год в сумме 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1 338,4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Утвердить 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15.11.2013г. №19 «О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в 2017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-1 207,9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тыс. рублей согласно приложению 18 к настоящему решению.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 в плановом периоде 2018 и 2019 годов в сумме -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1 188,9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- 1 338,4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соответственно согласно приложению 19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 в 2017 году согласно приложению 20 к настоящему решению;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 в плановом периоде 2018 и 2019 годов согласно приложению 21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указанных субсидий из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определяются нормативным правовым актом Администрации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.Утвердить в составе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резервный фонд Администрации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0,47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 2018 год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0,46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3) на 2019 год в размере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20,0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бюджета.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</w:t>
            </w:r>
            <w:hyperlink r:id="rId16" w:history="1">
              <w:r w:rsidRPr="00A76AE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Программу</w:t>
              </w:r>
            </w:hyperlink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внутренних заимствований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на 2017 год согласно приложению 22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2)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23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 Установить: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предельный объем муниципального долга на 2017год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- 914,0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 верхний предел муниципального внутреннего долга на 1 января 2018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предельный объем муниципального долга на 2018  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923,0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верхний предел муниципального внутреннего долга на 1 января 2019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предельный объем муниципального долга на 2019 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- 1 010,8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  6)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верхний предел муниципального внутреннего долга на 1 января 2020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в сумме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1) в 2017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2) в 2018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3) в 2019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.1.Утвердить </w:t>
            </w:r>
            <w:hyperlink r:id="rId17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         1) на 2017 год согласно приложению 24 к настоящему решению;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  2) на плановый период 2018 и 2019 годов согласно приложению 25 к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в составе Программы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1) на 2017 год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2017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2) на плановый период 2018 и 2019 годов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2018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2019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Управление Федерального казначейства по Смоленской области вправе осуществлять в 2017 году на основании решения главного распорядителя средств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полномочия получателя средств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в пределах суммы, необходимой для оплаты денежных обязательств по расходам получателей средств  местного бюджета, источником финансового обеспечения которых являются данные межбюджетные  трансферты, в порядке, установленном Федеральным казначейством.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решение вступает в силу с 1 января 2017 года.</w:t>
            </w:r>
          </w:p>
          <w:p w:rsidR="004A155F" w:rsidRPr="00A76AEF" w:rsidRDefault="004A155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3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65"/>
              <w:gridCol w:w="4169"/>
            </w:tblGrid>
            <w:tr w:rsidR="00A76AEF" w:rsidRPr="00A76AEF" w:rsidTr="00B510F4">
              <w:trPr>
                <w:trHeight w:val="509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сельского поселения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Монастырщинского</w:t>
                  </w:r>
                  <w:proofErr w:type="spellEnd"/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76AEF" w:rsidRPr="00A76AEF" w:rsidRDefault="00A76AEF" w:rsidP="00A76AE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Т.И.Статуева</w:t>
                  </w:r>
                  <w:proofErr w:type="spellEnd"/>
                </w:p>
              </w:tc>
            </w:tr>
          </w:tbl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AEF" w:rsidRPr="00A76AEF" w:rsidTr="00B510F4">
        <w:trPr>
          <w:gridAfter w:val="1"/>
          <w:wAfter w:w="4240" w:type="dxa"/>
          <w:trHeight w:val="57"/>
        </w:trPr>
        <w:tc>
          <w:tcPr>
            <w:tcW w:w="4676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gridSpan w:val="2"/>
          </w:tcPr>
          <w:p w:rsidR="00A76AEF" w:rsidRPr="00A76AEF" w:rsidRDefault="00A76AEF" w:rsidP="00A76AEF">
            <w:pPr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76AEF">
        <w:rPr>
          <w:rFonts w:ascii="Times New Roman" w:eastAsia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</w:t>
      </w:r>
      <w:r w:rsidRPr="00A76AEF">
        <w:rPr>
          <w:rFonts w:ascii="Times New Roman" w:eastAsia="Times New Roman" w:hAnsi="Times New Roman" w:cs="Times New Roman"/>
          <w:b/>
          <w:color w:val="000000"/>
        </w:rPr>
        <w:t>2017 год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(рублей)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528"/>
        <w:gridCol w:w="1985"/>
      </w:tblGrid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Сумма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01 00 00 00 00 0000 000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Изменение остатков на счетах по учету средств бюджета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01 05 00 00 00 0000 500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 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01 05 00 00 00  0000 600 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4 271 800,00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7"/>
        <w:gridCol w:w="5803"/>
      </w:tblGrid>
      <w:tr w:rsidR="00A76AEF" w:rsidRPr="00A76AEF" w:rsidTr="004A155F">
        <w:trPr>
          <w:trHeight w:val="1800"/>
        </w:trPr>
        <w:tc>
          <w:tcPr>
            <w:tcW w:w="4607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</w:tcPr>
          <w:p w:rsidR="00A76AEF" w:rsidRPr="00A76AEF" w:rsidRDefault="00A76AEF" w:rsidP="00A76AEF">
            <w:pPr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A76AEF" w:rsidRPr="00A76AEF" w:rsidRDefault="001C2A74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решению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Совета депутатов Александровского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 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111"/>
        <w:gridCol w:w="1701"/>
        <w:gridCol w:w="1842"/>
      </w:tblGrid>
      <w:tr w:rsidR="00A76AEF" w:rsidRPr="00A76AEF" w:rsidTr="00B510F4">
        <w:trPr>
          <w:trHeight w:val="1245"/>
        </w:trPr>
        <w:tc>
          <w:tcPr>
            <w:tcW w:w="2660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111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543" w:type="dxa"/>
            <w:gridSpan w:val="2"/>
          </w:tcPr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 (рублей)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AEF" w:rsidRPr="00A76AEF" w:rsidTr="00B510F4">
        <w:trPr>
          <w:trHeight w:val="1245"/>
        </w:trPr>
        <w:tc>
          <w:tcPr>
            <w:tcW w:w="2660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  <w:p w:rsidR="00A76AEF" w:rsidRPr="00A76AEF" w:rsidRDefault="00A76AEF" w:rsidP="00A76AEF">
            <w:pPr>
              <w:ind w:right="-33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01 00 00 00 00 0000 000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Изменение остатков на счетах по учету средств бюджета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01 05 00 00 00 0000 500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- 4 335 900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01 05 00 00 00  0000 600 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B510F4" w:rsidRDefault="00B510F4" w:rsidP="00A76AEF">
      <w:pPr>
        <w:ind w:left="5670"/>
        <w:rPr>
          <w:rFonts w:ascii="Times New Roman" w:hAnsi="Times New Roman" w:cs="Times New Roman"/>
        </w:rPr>
      </w:pPr>
    </w:p>
    <w:p w:rsidR="00B510F4" w:rsidRDefault="00B510F4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                                                  Приложение 3</w:t>
      </w:r>
    </w:p>
    <w:p w:rsid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4A155F" w:rsidRPr="00A76AEF" w:rsidRDefault="004A155F" w:rsidP="00A76AEF">
      <w:pPr>
        <w:ind w:left="5670"/>
        <w:jc w:val="both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Перечень главных администраторов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 доходов бюджета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Смоленской области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118"/>
        <w:gridCol w:w="4678"/>
      </w:tblGrid>
      <w:tr w:rsidR="00A76AEF" w:rsidRPr="00A76AEF" w:rsidTr="004A155F">
        <w:tc>
          <w:tcPr>
            <w:tcW w:w="5670" w:type="dxa"/>
            <w:gridSpan w:val="2"/>
          </w:tcPr>
          <w:p w:rsidR="00A76AEF" w:rsidRPr="00A76AEF" w:rsidRDefault="00A76AEF" w:rsidP="00A76AEF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A76AEF" w:rsidRPr="00A76AEF" w:rsidTr="004A155F">
        <w:trPr>
          <w:trHeight w:val="607"/>
        </w:trPr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4678" w:type="dxa"/>
            <w:vMerge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1 16 90050 10 0000 140    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1 1705050 10 0000 180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lastRenderedPageBreak/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76AE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921 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10267" w:type="dxa"/>
        <w:tblLook w:val="04A0"/>
      </w:tblPr>
      <w:tblGrid>
        <w:gridCol w:w="4661"/>
        <w:gridCol w:w="5606"/>
      </w:tblGrid>
      <w:tr w:rsidR="00A76AEF" w:rsidRPr="00A76AEF" w:rsidTr="004A155F">
        <w:trPr>
          <w:trHeight w:val="1861"/>
        </w:trPr>
        <w:tc>
          <w:tcPr>
            <w:tcW w:w="4661" w:type="dxa"/>
          </w:tcPr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br w:type="page"/>
            </w: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Приложение 4</w:t>
            </w: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2017 год и на плановый период 2018 и 2019 годов» 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</w:p>
    <w:p w:rsidR="00A76AEF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A76AEF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Перечень главных администраторов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источников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Смоленской области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5528"/>
      </w:tblGrid>
      <w:tr w:rsidR="00A76AEF" w:rsidRPr="00A76AEF" w:rsidTr="004A155F">
        <w:tc>
          <w:tcPr>
            <w:tcW w:w="4928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A76AEF" w:rsidRPr="00A76AEF" w:rsidTr="004A155F">
        <w:tc>
          <w:tcPr>
            <w:tcW w:w="209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главного </w:t>
            </w:r>
            <w:proofErr w:type="spellStart"/>
            <w:proofErr w:type="gramStart"/>
            <w:r w:rsidRPr="00A76AEF">
              <w:rPr>
                <w:rFonts w:ascii="Times New Roman" w:hAnsi="Times New Roman" w:cs="Times New Roman"/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528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4A155F">
        <w:tc>
          <w:tcPr>
            <w:tcW w:w="2093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A155F">
        <w:tc>
          <w:tcPr>
            <w:tcW w:w="2093" w:type="dxa"/>
            <w:vAlign w:val="center"/>
          </w:tcPr>
          <w:p w:rsidR="00A76AEF" w:rsidRPr="00A76AEF" w:rsidRDefault="00A76AEF" w:rsidP="00A76AEF">
            <w:pPr>
              <w:pStyle w:val="af8"/>
              <w:rPr>
                <w:sz w:val="22"/>
                <w:szCs w:val="22"/>
              </w:rPr>
            </w:pPr>
            <w:r w:rsidRPr="00A76AEF">
              <w:rPr>
                <w:sz w:val="22"/>
                <w:szCs w:val="22"/>
              </w:rPr>
              <w:t>921</w:t>
            </w:r>
          </w:p>
        </w:tc>
        <w:tc>
          <w:tcPr>
            <w:tcW w:w="2835" w:type="dxa"/>
            <w:vAlign w:val="center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76AEF" w:rsidRPr="00A76AEF" w:rsidTr="004A155F">
        <w:tc>
          <w:tcPr>
            <w:tcW w:w="2093" w:type="dxa"/>
            <w:vAlign w:val="center"/>
          </w:tcPr>
          <w:p w:rsidR="00A76AEF" w:rsidRPr="00A76AEF" w:rsidRDefault="00A76AEF" w:rsidP="00A76AEF">
            <w:pPr>
              <w:pStyle w:val="af8"/>
              <w:rPr>
                <w:sz w:val="22"/>
                <w:szCs w:val="22"/>
              </w:rPr>
            </w:pPr>
            <w:r w:rsidRPr="00A76AEF">
              <w:rPr>
                <w:sz w:val="22"/>
                <w:szCs w:val="22"/>
              </w:rPr>
              <w:t>921</w:t>
            </w:r>
          </w:p>
        </w:tc>
        <w:tc>
          <w:tcPr>
            <w:tcW w:w="2835" w:type="dxa"/>
            <w:vAlign w:val="center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Приложение 5</w:t>
      </w:r>
    </w:p>
    <w:p w:rsidR="00A76AEF" w:rsidRP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bookmarkStart w:id="1" w:name="OLE_LINK1"/>
      <w:bookmarkStart w:id="2" w:name="OLE_LINK2"/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  <w:bookmarkEnd w:id="1"/>
      <w:bookmarkEnd w:id="2"/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Нормативы распределения доходов </w:t>
      </w:r>
      <w:proofErr w:type="gramStart"/>
      <w:r w:rsidRPr="00A76AEF">
        <w:rPr>
          <w:rFonts w:ascii="Times New Roman" w:hAnsi="Times New Roman" w:cs="Times New Roman"/>
          <w:b/>
        </w:rPr>
        <w:t>между</w:t>
      </w:r>
      <w:proofErr w:type="gramEnd"/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 бюджетом муниципального образования «Монастырщинский район» Смоленской области и бюджетами поселений на 2017 год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1843"/>
        <w:gridCol w:w="1701"/>
        <w:gridCol w:w="1276"/>
      </w:tblGrid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Бюджет поселений</w:t>
            </w: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1 09 00000 00 0000 000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1 17 0000 00 0000 000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107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453"/>
        <w:gridCol w:w="5084"/>
        <w:gridCol w:w="869"/>
        <w:gridCol w:w="628"/>
        <w:gridCol w:w="81"/>
        <w:gridCol w:w="142"/>
        <w:gridCol w:w="1134"/>
        <w:gridCol w:w="221"/>
      </w:tblGrid>
      <w:tr w:rsidR="00A76AEF" w:rsidRPr="00A76AEF" w:rsidTr="00A76AEF">
        <w:trPr>
          <w:gridAfter w:val="4"/>
          <w:wAfter w:w="1578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3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6</w:t>
            </w: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 решению Совета депутатов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257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 области на 2017 год и на плановый период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2018 и 2019 годов" </w:t>
            </w:r>
          </w:p>
        </w:tc>
      </w:tr>
      <w:tr w:rsidR="00A76AEF" w:rsidRPr="00A76AEF" w:rsidTr="00A76AEF">
        <w:trPr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3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1351"/>
        </w:trPr>
        <w:tc>
          <w:tcPr>
            <w:tcW w:w="10520" w:type="dxa"/>
            <w:gridSpan w:val="8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области, за исключением безвозмездных поступлений  на 2017 год</w:t>
            </w:r>
          </w:p>
        </w:tc>
      </w:tr>
      <w:tr w:rsidR="00A76AEF" w:rsidRPr="00A76AEF" w:rsidTr="00A76AEF">
        <w:trPr>
          <w:gridAfter w:val="1"/>
          <w:wAfter w:w="221" w:type="dxa"/>
          <w:trHeight w:val="202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A76AEF">
        <w:trPr>
          <w:gridAfter w:val="1"/>
          <w:wAfter w:w="221" w:type="dxa"/>
          <w:trHeight w:val="66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1 828 100,00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10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Налог на доходы физических лиц с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доходов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,и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сточником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которых является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налоговыфй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Налоговогокодекса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1 207 900,00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1 03 02000 01 0000 110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Акцызы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329 300,00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1 06 01000 00 0000 110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36 700,00</w:t>
            </w:r>
          </w:p>
        </w:tc>
      </w:tr>
      <w:tr w:rsidR="00A76AEF" w:rsidRPr="00A76AEF" w:rsidTr="00A76AEF">
        <w:trPr>
          <w:gridAfter w:val="1"/>
          <w:wAfter w:w="221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1 06 01030 10 0000 110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36 700,00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1 06 06000 00 0000 110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292 600,00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1 06 06030 03 0000 110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1 06 06040 00 0000 110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288 600,00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1 06 06043 10 0000 110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288 600,00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1 11 05000 00 0000 120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возвозмездное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85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1 11 05030 00 0000 120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      17 200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1 11 05035 10 0000 120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оперативном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работ) и компенсации затрат государства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1 13 01000 00 0000 130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оказания платных услуг  (работ)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1 13 01995 10 0000 130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Прочие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дохорды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1 13 02000 00 0000 130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компесации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затрат государства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1 13 02995 10 0000 130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1 14 02000 000 0000 000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A76AEF" w:rsidRPr="00A76AEF" w:rsidTr="00A76AEF">
        <w:trPr>
          <w:gridAfter w:val="1"/>
          <w:wAfter w:w="221" w:type="dxa"/>
          <w:trHeight w:val="10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1 1402052 10 0000 410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средств по указанному имуществу</w:t>
            </w:r>
          </w:p>
        </w:tc>
        <w:tc>
          <w:tcPr>
            <w:tcW w:w="2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1 14 02052 10 0000 440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материальных запасов по указанному имуществу</w:t>
            </w:r>
          </w:p>
        </w:tc>
        <w:tc>
          <w:tcPr>
            <w:tcW w:w="2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1 1651000 02 0000 140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1 16 51040 02 0000 140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1 16 90000 00 0000 140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62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1 16 90050 10 0000 140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1 17 0100 00 0000 180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1 17 01050 10 0000 180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1 17 05000 00 0000 180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1 17 05050 10 0000 180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Pr="00A76AEF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736"/>
        <w:gridCol w:w="142"/>
        <w:gridCol w:w="1843"/>
        <w:gridCol w:w="142"/>
        <w:gridCol w:w="1853"/>
        <w:gridCol w:w="756"/>
        <w:gridCol w:w="509"/>
        <w:gridCol w:w="284"/>
        <w:gridCol w:w="425"/>
        <w:gridCol w:w="284"/>
        <w:gridCol w:w="142"/>
        <w:gridCol w:w="341"/>
        <w:gridCol w:w="624"/>
        <w:gridCol w:w="310"/>
        <w:gridCol w:w="283"/>
      </w:tblGrid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</w:tcPr>
          <w:p w:rsidR="00A76AEF" w:rsidRPr="00A76AEF" w:rsidRDefault="00A76AEF" w:rsidP="00B510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7</w:t>
            </w:r>
          </w:p>
        </w:tc>
        <w:tc>
          <w:tcPr>
            <w:tcW w:w="142" w:type="dxa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к решению Совета депутатов</w:t>
            </w:r>
          </w:p>
        </w:tc>
        <w:tc>
          <w:tcPr>
            <w:tcW w:w="142" w:type="dxa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10"/>
          </w:tcPr>
          <w:p w:rsidR="00A76AEF" w:rsidRPr="00A76AEF" w:rsidRDefault="00A76AEF" w:rsidP="00B510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"О бюджете Александровского сельского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538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10"/>
          </w:tcPr>
          <w:p w:rsidR="00A76AEF" w:rsidRPr="00A76AEF" w:rsidRDefault="00A76AEF" w:rsidP="00B510F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A76AEF" w:rsidRPr="00A76AEF" w:rsidTr="004A155F">
        <w:trPr>
          <w:gridAfter w:val="1"/>
          <w:wAfter w:w="283" w:type="dxa"/>
          <w:trHeight w:val="538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391" w:type="dxa"/>
            <w:gridSpan w:val="1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1351"/>
        </w:trPr>
        <w:tc>
          <w:tcPr>
            <w:tcW w:w="10520" w:type="dxa"/>
            <w:gridSpan w:val="1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доходы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бюджетаАлександровского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A76AEF" w:rsidRPr="00A76AEF" w:rsidTr="004A155F">
        <w:trPr>
          <w:gridAfter w:val="1"/>
          <w:wAfter w:w="283" w:type="dxa"/>
          <w:trHeight w:val="202"/>
        </w:trPr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66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2019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A76AEF">
              <w:rPr>
                <w:rFonts w:ascii="Arial" w:eastAsiaTheme="minorHAnsi" w:hAnsi="Arial" w:cs="Arial"/>
                <w:color w:val="000000"/>
              </w:rPr>
              <w:t>4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1 864 000,00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2 040 400,00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130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1 01 02010 01 0000 110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Налог на доходы физических лиц с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доходов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,и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сточником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которых является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налоговыфй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Налоговогокодекса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1 188 900,00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1 338 400,00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1 03 02000 01 0000 110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Акцызы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1 05 03010 01 0000 110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356 000,00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373 000,00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1 06 01000 00 0000 110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48 800,00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50 800,00</w:t>
            </w:r>
          </w:p>
        </w:tc>
      </w:tr>
      <w:tr w:rsidR="00A76AEF" w:rsidRPr="00A76AEF" w:rsidTr="004A155F">
        <w:trPr>
          <w:gridAfter w:val="1"/>
          <w:wAfter w:w="283" w:type="dxa"/>
          <w:trHeight w:val="6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1 06 01030 10 0000 110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48 800,00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50 800,00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1 06 06000 00 0000 110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307 200,00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322 200,00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1 06 06030 03 0000 110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1 06 06033 10 0000 110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1 06 06040 00 0000 110 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303 200,00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318 200,00</w:t>
            </w:r>
          </w:p>
        </w:tc>
      </w:tr>
      <w:tr w:rsidR="00A76AEF" w:rsidRPr="00A76AEF" w:rsidTr="004A155F">
        <w:trPr>
          <w:gridAfter w:val="1"/>
          <w:wAfter w:w="283" w:type="dxa"/>
          <w:trHeight w:val="6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1 06 06043 10 0000 110 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303 200,00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318 200,00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1 11 05000 00 0000 120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возвозмездное</w:t>
            </w:r>
            <w:proofErr w:type="spellEnd"/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960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76AEF" w:rsidRPr="00A76AEF" w:rsidTr="004A155F">
        <w:trPr>
          <w:gridAfter w:val="1"/>
          <w:wAfter w:w="283" w:type="dxa"/>
          <w:trHeight w:val="87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1 11 05030 00 0000 120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         18 000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1 11 05035 10 0000 120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оперативном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работ) и компенсации затрат государства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1 13 01000 00 0000 130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оказания платных услуг  (работ)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1 13 01995 10 0000 130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Прочие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дохорды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от оказания платных услуг (работ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получателями средств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1 13 02000 00 0000 130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компесации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затрат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госкдарства</w:t>
            </w:r>
            <w:proofErr w:type="spellEnd"/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1 13 02995 10 0000 130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87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1 14 02000 000 0000 000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1 1402052 10 0000 410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средств по указанному имуществу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1 14 02052 10 0000 440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материальных запасов по указанному имуществу</w:t>
            </w:r>
          </w:p>
        </w:tc>
        <w:tc>
          <w:tcPr>
            <w:tcW w:w="15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1 1651000 02 0000 140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1 16 51040 02 0000 140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1 16 90000 00 0000 140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62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1 16 90050 10 0000 140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1 17 0100 00 0000 180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1 17 01050 10 0000 180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1 17 05000 00 0000 180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1 17 05050 10 0000 180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Приложение 8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286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286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974"/>
        </w:trPr>
        <w:tc>
          <w:tcPr>
            <w:tcW w:w="10210" w:type="dxa"/>
            <w:gridSpan w:val="1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2017 год.</w:t>
            </w:r>
          </w:p>
        </w:tc>
      </w:tr>
      <w:tr w:rsidR="00A76AEF" w:rsidRPr="00A76AEF" w:rsidTr="004A155F">
        <w:trPr>
          <w:gridAfter w:val="2"/>
          <w:wAfter w:w="593" w:type="dxa"/>
          <w:trHeight w:val="538"/>
        </w:trPr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4A155F">
        <w:trPr>
          <w:gridAfter w:val="2"/>
          <w:wAfter w:w="593" w:type="dxa"/>
          <w:trHeight w:val="202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4A155F">
        <w:trPr>
          <w:gridAfter w:val="2"/>
          <w:wAfter w:w="593" w:type="dxa"/>
          <w:trHeight w:val="233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2 443 700  </w:t>
            </w:r>
          </w:p>
        </w:tc>
      </w:tr>
      <w:tr w:rsidR="00A76AEF" w:rsidRPr="00A76AEF" w:rsidTr="004A155F">
        <w:trPr>
          <w:gridAfter w:val="2"/>
          <w:wAfter w:w="593" w:type="dxa"/>
          <w:trHeight w:val="480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2 443 700  </w:t>
            </w:r>
          </w:p>
        </w:tc>
      </w:tr>
      <w:tr w:rsidR="00A76AEF" w:rsidRPr="00A76AEF" w:rsidTr="004A155F">
        <w:trPr>
          <w:gridAfter w:val="2"/>
          <w:wAfter w:w="593" w:type="dxa"/>
          <w:trHeight w:val="3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2 02 15001 00 0000 151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4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34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2 02 30000 00 0000 151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2"/>
          <w:wAfter w:w="593" w:type="dxa"/>
          <w:trHeight w:val="46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2"/>
          <w:wAfter w:w="593" w:type="dxa"/>
          <w:trHeight w:val="56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tbl>
      <w:tblPr>
        <w:tblW w:w="111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453"/>
        <w:gridCol w:w="1701"/>
        <w:gridCol w:w="2766"/>
        <w:gridCol w:w="352"/>
        <w:gridCol w:w="1418"/>
        <w:gridCol w:w="352"/>
        <w:gridCol w:w="384"/>
        <w:gridCol w:w="398"/>
        <w:gridCol w:w="170"/>
        <w:gridCol w:w="80"/>
        <w:gridCol w:w="558"/>
        <w:gridCol w:w="352"/>
      </w:tblGrid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9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4"/>
          <w:wAfter w:w="116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A76AEF" w:rsidRPr="00A76AEF" w:rsidTr="004A155F">
        <w:trPr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20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974"/>
        </w:trPr>
        <w:tc>
          <w:tcPr>
            <w:tcW w:w="10761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 плановый период 2018 и 2019 годов</w:t>
            </w:r>
          </w:p>
        </w:tc>
      </w:tr>
      <w:tr w:rsidR="00A76AEF" w:rsidRPr="00A76AEF" w:rsidTr="004A155F">
        <w:trPr>
          <w:gridAfter w:val="1"/>
          <w:wAfter w:w="352" w:type="dxa"/>
          <w:trHeight w:val="538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02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Сумма  2018 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Сумма  2019 </w:t>
            </w:r>
          </w:p>
        </w:tc>
      </w:tr>
      <w:tr w:rsidR="00A76AEF" w:rsidRPr="00A76AEF" w:rsidTr="004A155F">
        <w:trPr>
          <w:gridAfter w:val="1"/>
          <w:wAfter w:w="352" w:type="dxa"/>
          <w:trHeight w:val="233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2 471 900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2 502 700  </w:t>
            </w:r>
          </w:p>
        </w:tc>
      </w:tr>
      <w:tr w:rsidR="00A76AEF" w:rsidRPr="00A76AEF" w:rsidTr="004A155F">
        <w:trPr>
          <w:gridAfter w:val="1"/>
          <w:wAfter w:w="352" w:type="dxa"/>
          <w:trHeight w:val="48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2 471 900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2 502 700  </w:t>
            </w:r>
          </w:p>
        </w:tc>
      </w:tr>
      <w:tr w:rsidR="00A76AEF" w:rsidRPr="00A76AEF" w:rsidTr="004A155F">
        <w:trPr>
          <w:gridAfter w:val="1"/>
          <w:wAfter w:w="352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2 02 15001 00 0000 151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2 02 15001 10 0000 151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2 02 30000 00 0000 151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1"/>
          <w:wAfter w:w="352" w:type="dxa"/>
          <w:trHeight w:val="46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1"/>
          <w:wAfter w:w="352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2 02 35118 10 0000 151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p w:rsidR="00A76AEF" w:rsidRDefault="00A76AEF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Pr="00A76AEF" w:rsidRDefault="00F9669B" w:rsidP="00A76AEF">
      <w:pPr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ook w:val="04A0"/>
      </w:tblPr>
      <w:tblGrid>
        <w:gridCol w:w="4660"/>
        <w:gridCol w:w="700"/>
        <w:gridCol w:w="640"/>
        <w:gridCol w:w="1670"/>
        <w:gridCol w:w="709"/>
        <w:gridCol w:w="1842"/>
      </w:tblGrid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F112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F9669B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 и на плановый период 2018 и 2019 годов"</w:t>
            </w:r>
          </w:p>
        </w:tc>
      </w:tr>
      <w:tr w:rsidR="00A76AEF" w:rsidRPr="00A76AEF" w:rsidTr="00F9669B">
        <w:trPr>
          <w:trHeight w:val="12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2 638 200,00</w:t>
            </w:r>
          </w:p>
        </w:tc>
      </w:tr>
      <w:tr w:rsidR="00A76AEF" w:rsidRPr="00A76AEF" w:rsidTr="00F9669B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2 046 200,00</w:t>
            </w:r>
          </w:p>
        </w:tc>
      </w:tr>
      <w:tr w:rsidR="00A76AEF" w:rsidRPr="00A76AEF" w:rsidTr="00F9669B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F9669B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"Создание условий для обеспечения транспортного обслуживания населения на территории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4A155F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4A155F">
        <w:trPr>
          <w:trHeight w:val="47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10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tbl>
      <w:tblPr>
        <w:tblW w:w="109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599"/>
        <w:gridCol w:w="252"/>
        <w:gridCol w:w="243"/>
        <w:gridCol w:w="607"/>
        <w:gridCol w:w="1701"/>
        <w:gridCol w:w="142"/>
        <w:gridCol w:w="466"/>
        <w:gridCol w:w="243"/>
        <w:gridCol w:w="1417"/>
        <w:gridCol w:w="733"/>
        <w:gridCol w:w="567"/>
      </w:tblGrid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3"/>
          </w:tcPr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7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11</w:t>
            </w:r>
          </w:p>
        </w:tc>
        <w:tc>
          <w:tcPr>
            <w:tcW w:w="466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50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677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2017 год  и 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F9669B" w:rsidRPr="00A76AEF" w:rsidTr="004A155F">
        <w:trPr>
          <w:trHeight w:val="677"/>
        </w:trPr>
        <w:tc>
          <w:tcPr>
            <w:tcW w:w="4598" w:type="dxa"/>
            <w:gridSpan w:val="2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1118"/>
        </w:trPr>
        <w:tc>
          <w:tcPr>
            <w:tcW w:w="10969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непрограмным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 (рублей)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B510F4">
        <w:trPr>
          <w:trHeight w:val="21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Сумма 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Сумма 2019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2 714 300,00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2 671 900,00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2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75 3 00 00000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2 122 300,00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2 079 900,00</w:t>
            </w:r>
          </w:p>
        </w:tc>
      </w:tr>
      <w:tr w:rsidR="00A76AEF" w:rsidRPr="00A76AEF" w:rsidTr="00B510F4">
        <w:trPr>
          <w:trHeight w:val="1243"/>
        </w:trPr>
        <w:tc>
          <w:tcPr>
            <w:tcW w:w="3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2014-2020годы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8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659 300,00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615 900,00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659 300,00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615 900,00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мероприятие "Энергосбережение и повышение энергетической эффективности в </w:t>
            </w: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административных зданиях"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7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Контрольно-ревизионная комиссия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98 0 00 00000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98  1 00 00000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1 190 900,00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1 340 400,00</w:t>
            </w:r>
          </w:p>
        </w:tc>
      </w:tr>
      <w:tr w:rsidR="00A76AEF" w:rsidRPr="00A76AEF" w:rsidTr="00B510F4">
        <w:trPr>
          <w:trHeight w:val="2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Транпорт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02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12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370 000,00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470 100,00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9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225 100,00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145 000,00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220 100,00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"П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благоустройства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02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</w:tbl>
    <w:p w:rsidR="00A76AEF" w:rsidRPr="00A76AEF" w:rsidRDefault="00A76AEF" w:rsidP="00F9669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76AEF" w:rsidRPr="00A76AEF" w:rsidRDefault="00A76AEF" w:rsidP="00F9669B">
      <w:pPr>
        <w:pStyle w:val="ConsPlusNormal"/>
        <w:shd w:val="clear" w:color="auto" w:fill="FFFFFF" w:themeFill="background1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6AEF">
        <w:rPr>
          <w:rFonts w:ascii="Times New Roman" w:hAnsi="Times New Roman" w:cs="Times New Roman"/>
          <w:sz w:val="22"/>
          <w:szCs w:val="22"/>
        </w:rPr>
        <w:t>_</w:t>
      </w: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4"/>
        <w:gridCol w:w="1392"/>
        <w:gridCol w:w="280"/>
        <w:gridCol w:w="574"/>
        <w:gridCol w:w="702"/>
        <w:gridCol w:w="2268"/>
      </w:tblGrid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824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12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50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</w:tr>
      <w:tr w:rsidR="00A76AEF" w:rsidRPr="00A76AEF" w:rsidTr="00F9669B">
        <w:trPr>
          <w:trHeight w:val="511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2017 год и на плановый период 2018 и 2019 годов"</w:t>
            </w:r>
          </w:p>
        </w:tc>
      </w:tr>
      <w:tr w:rsidR="00A76AEF" w:rsidRPr="00A76AEF" w:rsidTr="00F9669B">
        <w:trPr>
          <w:trHeight w:val="526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F9669B">
        <w:trPr>
          <w:trHeight w:val="1402"/>
        </w:trPr>
        <w:tc>
          <w:tcPr>
            <w:tcW w:w="10520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непрограмным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A76AEF" w:rsidRPr="00A76AEF" w:rsidTr="00F9669B">
        <w:trPr>
          <w:trHeight w:val="456"/>
        </w:trPr>
        <w:tc>
          <w:tcPr>
            <w:tcW w:w="5304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F9669B">
        <w:trPr>
          <w:trHeight w:val="210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F9669B">
        <w:trPr>
          <w:trHeight w:val="331"/>
        </w:trPr>
        <w:tc>
          <w:tcPr>
            <w:tcW w:w="5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</w:t>
            </w:r>
          </w:p>
        </w:tc>
      </w:tr>
      <w:tr w:rsidR="00A76AEF" w:rsidRPr="00A76AEF" w:rsidTr="00F9669B">
        <w:trPr>
          <w:trHeight w:val="86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65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584 200,00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584 200,00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49 000,00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49 000,00</w:t>
            </w:r>
          </w:p>
        </w:tc>
      </w:tr>
      <w:tr w:rsidR="00A76AEF" w:rsidRPr="00A76AEF" w:rsidTr="00F9669B">
        <w:trPr>
          <w:trHeight w:val="84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1 209 900,00</w:t>
            </w:r>
          </w:p>
        </w:tc>
      </w:tr>
      <w:tr w:rsidR="00A76AEF" w:rsidRPr="00A76AEF" w:rsidTr="00F9669B">
        <w:trPr>
          <w:trHeight w:val="68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дорожного фонда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02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103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358 000,00</w:t>
            </w:r>
          </w:p>
        </w:tc>
      </w:tr>
      <w:tr w:rsidR="00A76AEF" w:rsidRPr="00A76AEF" w:rsidTr="00F9669B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03 2 00 00000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03 2 01 00000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03 3 00 00000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"П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благоустройства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03 4 00 00000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78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02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57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5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75 3 00 00000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Расходы на обеспечение функций органов местного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76 0 00 00000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Высшее должностное лицо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76 1 00 00000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77 0 00 00000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Контрольно-ревизионная комиссия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78 0 00 00000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98 0 00 00000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98 1 00 00000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A76AEF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4420"/>
        <w:gridCol w:w="1832"/>
        <w:gridCol w:w="851"/>
        <w:gridCol w:w="1701"/>
        <w:gridCol w:w="1701"/>
      </w:tblGrid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E91"/>
            <w:bookmarkEnd w:id="4"/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A76AEF" w:rsidRPr="00A76AEF" w:rsidTr="00F9669B">
        <w:trPr>
          <w:trHeight w:val="1523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A76AEF" w:rsidRPr="00A76AEF" w:rsidTr="00F9669B">
        <w:trPr>
          <w:trHeight w:val="49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25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2018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2019 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6AEF" w:rsidRPr="00A76AEF" w:rsidTr="00F9669B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F9669B">
        <w:trPr>
          <w:trHeight w:val="15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1 340 400,00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465 100,00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4A155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4A155F">
        <w:trPr>
          <w:trHeight w:val="10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4A155F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4A155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A76AEF" w:rsidRPr="00A76AEF" w:rsidTr="004A155F">
        <w:trPr>
          <w:trHeight w:val="8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4A155F">
        <w:trPr>
          <w:trHeight w:val="10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Гоголевского сельского поселения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844" w:type="dxa"/>
        <w:tblInd w:w="93" w:type="dxa"/>
        <w:tblLook w:val="04A0"/>
      </w:tblPr>
      <w:tblGrid>
        <w:gridCol w:w="4660"/>
        <w:gridCol w:w="940"/>
        <w:gridCol w:w="700"/>
        <w:gridCol w:w="519"/>
        <w:gridCol w:w="121"/>
        <w:gridCol w:w="1439"/>
        <w:gridCol w:w="726"/>
        <w:gridCol w:w="1739"/>
      </w:tblGrid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G116"/>
            <w:bookmarkEnd w:id="5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  14 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B510F4">
        <w:trPr>
          <w:trHeight w:val="30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A76AEF" w:rsidRPr="00A76AEF" w:rsidTr="00B510F4">
        <w:trPr>
          <w:trHeight w:val="285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153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рапорядителям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бюджетных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азделам,подразделам,целевым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2017 год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B510F4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4 271 800,00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2 638 200,00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612" w:type="dxa"/>
        <w:tblInd w:w="93" w:type="dxa"/>
        <w:tblLook w:val="04A0"/>
      </w:tblPr>
      <w:tblGrid>
        <w:gridCol w:w="3984"/>
        <w:gridCol w:w="1134"/>
        <w:gridCol w:w="700"/>
        <w:gridCol w:w="514"/>
        <w:gridCol w:w="1433"/>
        <w:gridCol w:w="546"/>
        <w:gridCol w:w="1160"/>
        <w:gridCol w:w="1141"/>
      </w:tblGrid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A1:H116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300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285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147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рапорядителям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бюджетных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азделам,подразделам,целевым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 плановый период 2018 и 2019 годов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2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 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 2019</w:t>
            </w:r>
          </w:p>
        </w:tc>
      </w:tr>
      <w:tr w:rsidR="00A76AEF" w:rsidRPr="00A76AEF" w:rsidTr="00B510F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4 335 900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4 543 100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2 714 300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2 671 900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01 1 01 </w:t>
            </w: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A76AEF" w:rsidRPr="00A76AEF" w:rsidTr="00B510F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расходы за счет межбюджетных трансфертов других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1 340 400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470 100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"Создание условий для устойчивого развития систем коммунальной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инфраструктуры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225 100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15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4A155F" w:rsidRPr="00A76AEF" w:rsidRDefault="004A155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884" w:type="dxa"/>
        <w:tblInd w:w="93" w:type="dxa"/>
        <w:tblLayout w:type="fixed"/>
        <w:tblLook w:val="04A0"/>
      </w:tblPr>
      <w:tblGrid>
        <w:gridCol w:w="4126"/>
        <w:gridCol w:w="1431"/>
        <w:gridCol w:w="128"/>
        <w:gridCol w:w="709"/>
        <w:gridCol w:w="236"/>
        <w:gridCol w:w="48"/>
        <w:gridCol w:w="567"/>
        <w:gridCol w:w="120"/>
        <w:gridCol w:w="967"/>
        <w:gridCol w:w="236"/>
        <w:gridCol w:w="473"/>
        <w:gridCol w:w="661"/>
        <w:gridCol w:w="1086"/>
        <w:gridCol w:w="96"/>
      </w:tblGrid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A1:G131"/>
            <w:bookmarkEnd w:id="7"/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A76AEF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B510F4">
            <w:pPr>
              <w:ind w:left="129" w:hanging="1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Александровского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сельскогопоселения</w:t>
            </w:r>
            <w:proofErr w:type="spellEnd"/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МонастырщинскогорайонаСмоленской</w:t>
            </w:r>
            <w:proofErr w:type="spellEnd"/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8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960"/>
        </w:trPr>
        <w:tc>
          <w:tcPr>
            <w:tcW w:w="10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A76AEF" w:rsidRPr="00A76AEF" w:rsidTr="00B510F4">
        <w:trPr>
          <w:gridAfter w:val="2"/>
          <w:wAfter w:w="1182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        (рублей)</w:t>
            </w:r>
          </w:p>
        </w:tc>
      </w:tr>
      <w:tr w:rsidR="00A76AEF" w:rsidRPr="00A76AEF" w:rsidTr="00B510F4">
        <w:trPr>
          <w:gridAfter w:val="1"/>
          <w:wAfter w:w="96" w:type="dxa"/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6AEF" w:rsidRPr="00A76AEF" w:rsidTr="00B510F4">
        <w:trPr>
          <w:gridAfter w:val="1"/>
          <w:wAfter w:w="96" w:type="dxa"/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01 1 01 00140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gridAfter w:val="1"/>
          <w:wAfter w:w="96" w:type="dxa"/>
          <w:trHeight w:val="1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1 209 900,00</w:t>
            </w:r>
          </w:p>
        </w:tc>
      </w:tr>
      <w:tr w:rsidR="00A76AEF" w:rsidRPr="00A76AEF" w:rsidTr="00B510F4">
        <w:trPr>
          <w:gridAfter w:val="1"/>
          <w:wAfter w:w="96" w:type="dxa"/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1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Смоленской области» на 2014-2020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03 0 00 00000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358 000,00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A76AEF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788" w:type="dxa"/>
        <w:tblInd w:w="93" w:type="dxa"/>
        <w:tblLook w:val="04A0"/>
      </w:tblPr>
      <w:tblGrid>
        <w:gridCol w:w="3701"/>
        <w:gridCol w:w="939"/>
        <w:gridCol w:w="478"/>
        <w:gridCol w:w="426"/>
        <w:gridCol w:w="516"/>
        <w:gridCol w:w="192"/>
        <w:gridCol w:w="748"/>
        <w:gridCol w:w="700"/>
        <w:gridCol w:w="546"/>
        <w:gridCol w:w="1276"/>
        <w:gridCol w:w="1266"/>
      </w:tblGrid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A1:H130"/>
            <w:bookmarkEnd w:id="8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8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 "</w:t>
            </w:r>
          </w:p>
        </w:tc>
      </w:tr>
      <w:tr w:rsidR="00A76AEF" w:rsidRPr="00A76AEF" w:rsidTr="00B510F4">
        <w:trPr>
          <w:trHeight w:val="960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2019годов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B510F4">
        <w:trPr>
          <w:trHeight w:val="25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</w:tr>
      <w:tr w:rsidR="00A76AEF" w:rsidRPr="00A76AEF" w:rsidTr="00B510F4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B510F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B510F4">
        <w:trPr>
          <w:trHeight w:val="16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1 190 900,00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1 340 400,00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6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465 100,00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  <w:p w:rsidR="004A155F" w:rsidRPr="00A76AEF" w:rsidRDefault="004A155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2280"/>
        <w:gridCol w:w="570"/>
        <w:gridCol w:w="4630"/>
        <w:gridCol w:w="3025"/>
      </w:tblGrid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F9669B">
        <w:trPr>
          <w:trHeight w:val="5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F9669B">
        <w:trPr>
          <w:trHeight w:val="226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"в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2017году</w:t>
            </w:r>
          </w:p>
        </w:tc>
      </w:tr>
      <w:tr w:rsidR="00A76AEF" w:rsidRPr="00A76AEF" w:rsidTr="00F9669B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6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Наименование кода дохода бюджета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F9669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76AEF" w:rsidRPr="00A76AEF" w:rsidTr="00F9669B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Акцызы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2452"/>
        <w:gridCol w:w="4297"/>
        <w:gridCol w:w="1383"/>
        <w:gridCol w:w="530"/>
        <w:gridCol w:w="1843"/>
      </w:tblGrid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F9669B">
        <w:trPr>
          <w:trHeight w:val="50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F9669B">
        <w:trPr>
          <w:trHeight w:val="210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области" на плановый период 2018 и 2019 годов</w:t>
            </w:r>
          </w:p>
        </w:tc>
      </w:tr>
      <w:tr w:rsidR="00A76AEF" w:rsidRPr="00A76AEF" w:rsidTr="00F9669B">
        <w:trPr>
          <w:trHeight w:val="27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D779A4">
        <w:trPr>
          <w:trHeight w:val="6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</w:tr>
      <w:tr w:rsidR="00A76AEF" w:rsidRPr="00A76AEF" w:rsidTr="00D779A4">
        <w:trPr>
          <w:trHeight w:val="23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76AEF" w:rsidRPr="00A76AEF" w:rsidTr="00D779A4">
        <w:trPr>
          <w:trHeight w:val="25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D779A4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D779A4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Акцызы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20</w:t>
      </w:r>
    </w:p>
    <w:p w:rsidR="00A76AEF" w:rsidRPr="00A76AEF" w:rsidRDefault="00A76AEF" w:rsidP="00A76AEF">
      <w:pPr>
        <w:ind w:left="5670" w:firstLine="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ЦЕЛИ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3"/>
        <w:gridCol w:w="2835"/>
      </w:tblGrid>
      <w:tr w:rsidR="00A76AEF" w:rsidRPr="00A76AEF" w:rsidTr="00F9669B">
        <w:trPr>
          <w:trHeight w:val="654"/>
        </w:trPr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субсидии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2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2835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          2 000,00 </w:t>
            </w:r>
          </w:p>
        </w:tc>
      </w:tr>
    </w:tbl>
    <w:p w:rsidR="00A76AEF" w:rsidRPr="00A76AEF" w:rsidRDefault="00A76AEF" w:rsidP="00A76AEF">
      <w:pPr>
        <w:jc w:val="both"/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21</w:t>
      </w: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ЦЕЛИ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0"/>
        <w:gridCol w:w="1417"/>
        <w:gridCol w:w="36"/>
        <w:gridCol w:w="1665"/>
      </w:tblGrid>
      <w:tr w:rsidR="00A76AEF" w:rsidRPr="00A76AEF" w:rsidTr="00CD3BA3">
        <w:trPr>
          <w:trHeight w:val="654"/>
        </w:trPr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субсидии</w:t>
            </w:r>
          </w:p>
        </w:tc>
        <w:tc>
          <w:tcPr>
            <w:tcW w:w="141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2019</w:t>
            </w:r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3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4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1453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66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2 000,00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22</w:t>
      </w: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2017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410"/>
        <w:gridCol w:w="2835"/>
        <w:gridCol w:w="4394"/>
      </w:tblGrid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2017 году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2017 году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</w:pPr>
    </w:p>
    <w:p w:rsidR="00A76AEF" w:rsidRDefault="00A76AEF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Pr="00A76AEF" w:rsidRDefault="00CD3BA3" w:rsidP="00A76AEF"/>
    <w:p w:rsidR="00A76AEF" w:rsidRPr="00A76AEF" w:rsidRDefault="00A76AEF" w:rsidP="00A76AEF">
      <w:pPr>
        <w:ind w:left="5670" w:firstLine="0"/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23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Смоленской области на 2017 год и на плановый период </w:t>
      </w:r>
    </w:p>
    <w:p w:rsid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2018 и 2019 годов»</w:t>
      </w:r>
    </w:p>
    <w:p w:rsidR="00CD3BA3" w:rsidRPr="00A76AEF" w:rsidRDefault="00CD3BA3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73"/>
        <w:gridCol w:w="1843"/>
        <w:gridCol w:w="2268"/>
        <w:gridCol w:w="1842"/>
        <w:gridCol w:w="1985"/>
      </w:tblGrid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2018 году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2018 году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ind w:left="-111" w:firstLine="471"/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2019 году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2019 году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Pr="00A76AEF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24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2017 год и на плановый период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2018 и 2019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2017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в 2017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CD3BA3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</w:tr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CD3BA3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2017 году, - 0,0 тыс. рублей, из них: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1) за счет источников финансирования дефицита местного бюджета – 0,0 тыс. рублей;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2) за счет расходов местного бюджета – 0,0 тыс. рублей.</w:t>
      </w:r>
    </w:p>
    <w:p w:rsidR="00A76AEF" w:rsidRDefault="00A76AEF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Pr="00A76AEF" w:rsidRDefault="00CD3BA3" w:rsidP="00A76AEF">
      <w:pPr>
        <w:jc w:val="both"/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25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на 2017 год и </w:t>
      </w:r>
      <w:proofErr w:type="gramStart"/>
      <w:r w:rsidRPr="00A76AEF">
        <w:rPr>
          <w:rFonts w:ascii="Times New Roman" w:hAnsi="Times New Roman" w:cs="Times New Roman"/>
        </w:rPr>
        <w:t>на</w:t>
      </w:r>
      <w:proofErr w:type="gramEnd"/>
      <w:r w:rsidRPr="00A76AEF">
        <w:rPr>
          <w:rFonts w:ascii="Times New Roman" w:hAnsi="Times New Roman" w:cs="Times New Roman"/>
        </w:rPr>
        <w:t xml:space="preserve"> плановый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период 2018 и 2019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A76AEF" w:rsidRPr="00A76AEF" w:rsidTr="00A76AEF">
        <w:trPr>
          <w:cantSplit/>
          <w:trHeight w:val="1194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2126" w:type="dxa"/>
            <w:gridSpan w:val="2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A76AEF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vAlign w:val="center"/>
          </w:tcPr>
          <w:p w:rsidR="00A76AEF" w:rsidRPr="00A76AEF" w:rsidRDefault="00A76AEF" w:rsidP="00A76AEF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18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A76AEF" w:rsidRPr="00A76AEF" w:rsidTr="00A76AEF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7</w:t>
            </w:r>
          </w:p>
        </w:tc>
      </w:tr>
      <w:tr w:rsidR="00A76AEF" w:rsidRPr="00A76AEF" w:rsidTr="00A76AEF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A76AEF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2.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2018 году, − 0,0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2) за счет расходов местного бюджета – 0,0 тыс. рублей.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2019 году –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2) за счет расходов местного бюджета – 0,0 тыс. рублей 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666DFF" w:rsidRPr="00A76AEF" w:rsidRDefault="00666DFF"/>
    <w:sectPr w:rsidR="00666DFF" w:rsidRPr="00A76AEF" w:rsidSect="00A76AE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EF"/>
    <w:rsid w:val="001C2A74"/>
    <w:rsid w:val="002B0720"/>
    <w:rsid w:val="004A155F"/>
    <w:rsid w:val="00666DFF"/>
    <w:rsid w:val="00A76AEF"/>
    <w:rsid w:val="00B510F4"/>
    <w:rsid w:val="00B860F4"/>
    <w:rsid w:val="00CD3BA3"/>
    <w:rsid w:val="00D779A4"/>
    <w:rsid w:val="00F9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0FDC-D88E-41A6-9975-C9EB0D2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22905</Words>
  <Characters>130564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10</cp:revision>
  <dcterms:created xsi:type="dcterms:W3CDTF">2016-12-26T07:43:00Z</dcterms:created>
  <dcterms:modified xsi:type="dcterms:W3CDTF">2017-01-09T13:26:00Z</dcterms:modified>
</cp:coreProperties>
</file>